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C5" w:rsidRPr="006C2AC5" w:rsidRDefault="006C2AC5" w:rsidP="006C2AC5">
      <w:pPr>
        <w:spacing w:before="100" w:beforeAutospacing="1" w:after="240" w:line="240" w:lineRule="auto"/>
        <w:jc w:val="center"/>
        <w:rPr>
          <w:rFonts w:ascii="Lato" w:eastAsia="Times New Roman" w:hAnsi="Lato" w:cs="Times New Roman"/>
          <w:color w:val="383126"/>
          <w:sz w:val="24"/>
          <w:szCs w:val="24"/>
        </w:rPr>
      </w:pPr>
      <w:r w:rsidRPr="006C2AC5">
        <w:rPr>
          <w:rFonts w:ascii="Lato" w:eastAsia="Times New Roman" w:hAnsi="Lato" w:cs="Times New Roman"/>
          <w:b/>
          <w:bCs/>
          <w:color w:val="383126"/>
          <w:sz w:val="24"/>
          <w:szCs w:val="24"/>
        </w:rPr>
        <w:t>Hughes County Commission</w:t>
      </w:r>
      <w:r w:rsidRPr="006C2AC5">
        <w:rPr>
          <w:rFonts w:ascii="Lato" w:eastAsia="Times New Roman" w:hAnsi="Lato" w:cs="Times New Roman"/>
          <w:b/>
          <w:bCs/>
          <w:color w:val="383126"/>
          <w:sz w:val="24"/>
          <w:szCs w:val="24"/>
        </w:rPr>
        <w:br/>
      </w:r>
      <w:r w:rsidRPr="006C2AC5">
        <w:rPr>
          <w:rFonts w:ascii="Lato" w:eastAsia="Times New Roman" w:hAnsi="Lato" w:cs="Times New Roman"/>
          <w:b/>
          <w:bCs/>
          <w:color w:val="383126"/>
          <w:sz w:val="24"/>
          <w:szCs w:val="24"/>
        </w:rPr>
        <w:br/>
        <w:t>Agenda</w:t>
      </w:r>
    </w:p>
    <w:p w:rsidR="006C2AC5" w:rsidRPr="006C2AC5" w:rsidRDefault="006C2AC5" w:rsidP="006C2AC5">
      <w:pPr>
        <w:spacing w:before="100" w:beforeAutospacing="1" w:after="240" w:line="240" w:lineRule="auto"/>
        <w:jc w:val="center"/>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January 4, 2016 5:30 PM</w:t>
      </w:r>
    </w:p>
    <w:p w:rsidR="006C2AC5" w:rsidRPr="006C2AC5" w:rsidRDefault="006C2AC5" w:rsidP="006C2AC5">
      <w:pPr>
        <w:spacing w:before="100" w:beforeAutospacing="1" w:after="240" w:line="240" w:lineRule="auto"/>
        <w:rPr>
          <w:rFonts w:ascii="Lato" w:eastAsia="Times New Roman" w:hAnsi="Lato" w:cs="Times New Roman"/>
          <w:color w:val="383126"/>
          <w:sz w:val="24"/>
          <w:szCs w:val="24"/>
        </w:rPr>
      </w:pPr>
      <w:r w:rsidRPr="006C2AC5">
        <w:rPr>
          <w:rFonts w:ascii="Lato" w:eastAsia="Times New Roman" w:hAnsi="Lato" w:cs="Times New Roman"/>
          <w:color w:val="383126"/>
          <w:sz w:val="24"/>
          <w:szCs w:val="24"/>
        </w:rPr>
        <w:br/>
      </w:r>
      <w:r w:rsidRPr="006C2AC5">
        <w:rPr>
          <w:rFonts w:ascii="Lato" w:eastAsia="Times New Roman" w:hAnsi="Lato" w:cs="Times New Roman"/>
          <w:color w:val="383126"/>
          <w:sz w:val="24"/>
          <w:szCs w:val="24"/>
        </w:rPr>
        <w:br/>
      </w:r>
      <w:r w:rsidRPr="006C2AC5">
        <w:rPr>
          <w:rFonts w:ascii="Lato" w:eastAsia="Times New Roman" w:hAnsi="Lato" w:cs="Times New Roman"/>
          <w:b/>
          <w:bCs/>
          <w:color w:val="383126"/>
          <w:sz w:val="24"/>
          <w:szCs w:val="24"/>
        </w:rPr>
        <w:t>Invocation and Pledge</w:t>
      </w:r>
      <w:bookmarkStart w:id="0" w:name="_GoBack"/>
      <w:bookmarkEnd w:id="0"/>
    </w:p>
    <w:p w:rsidR="006C2AC5" w:rsidRPr="006C2AC5" w:rsidRDefault="006C2AC5" w:rsidP="006C2AC5">
      <w:pPr>
        <w:spacing w:before="100" w:beforeAutospacing="1" w:after="240" w:line="240" w:lineRule="auto"/>
        <w:rPr>
          <w:rFonts w:ascii="Lato" w:eastAsia="Times New Roman" w:hAnsi="Lato" w:cs="Times New Roman"/>
          <w:color w:val="383126"/>
          <w:sz w:val="24"/>
          <w:szCs w:val="24"/>
        </w:rPr>
      </w:pPr>
      <w:r w:rsidRPr="006C2AC5">
        <w:rPr>
          <w:rFonts w:ascii="Lato" w:eastAsia="Times New Roman" w:hAnsi="Lato" w:cs="Times New Roman"/>
          <w:color w:val="383126"/>
          <w:sz w:val="24"/>
          <w:szCs w:val="24"/>
        </w:rPr>
        <w:br/>
      </w:r>
      <w:r w:rsidRPr="006C2AC5">
        <w:rPr>
          <w:rFonts w:ascii="Lato" w:eastAsia="Times New Roman" w:hAnsi="Lato" w:cs="Times New Roman"/>
          <w:color w:val="383126"/>
          <w:sz w:val="24"/>
          <w:szCs w:val="24"/>
        </w:rPr>
        <w:br/>
      </w:r>
      <w:r w:rsidRPr="006C2AC5">
        <w:rPr>
          <w:rFonts w:ascii="Lato" w:eastAsia="Times New Roman" w:hAnsi="Lato" w:cs="Times New Roman"/>
          <w:b/>
          <w:bCs/>
          <w:color w:val="383126"/>
          <w:sz w:val="24"/>
          <w:szCs w:val="24"/>
        </w:rPr>
        <w:t>Approve Agenda</w:t>
      </w:r>
    </w:p>
    <w:p w:rsidR="006C2AC5" w:rsidRPr="006C2AC5" w:rsidRDefault="006C2AC5" w:rsidP="006C2AC5">
      <w:pPr>
        <w:spacing w:before="100" w:beforeAutospacing="1" w:after="240" w:line="240" w:lineRule="auto"/>
        <w:rPr>
          <w:rFonts w:ascii="Lato" w:eastAsia="Times New Roman" w:hAnsi="Lato" w:cs="Times New Roman"/>
          <w:color w:val="383126"/>
          <w:sz w:val="24"/>
          <w:szCs w:val="24"/>
        </w:rPr>
      </w:pPr>
      <w:r w:rsidRPr="006C2AC5">
        <w:rPr>
          <w:rFonts w:ascii="Lato" w:eastAsia="Times New Roman" w:hAnsi="Lato" w:cs="Times New Roman"/>
          <w:color w:val="383126"/>
          <w:sz w:val="24"/>
          <w:szCs w:val="24"/>
        </w:rPr>
        <w:br/>
      </w:r>
      <w:r w:rsidRPr="006C2AC5">
        <w:rPr>
          <w:rFonts w:ascii="Lato" w:eastAsia="Times New Roman" w:hAnsi="Lato" w:cs="Times New Roman"/>
          <w:color w:val="383126"/>
          <w:sz w:val="24"/>
          <w:szCs w:val="24"/>
        </w:rPr>
        <w:br/>
      </w:r>
      <w:r w:rsidRPr="006C2AC5">
        <w:rPr>
          <w:rFonts w:ascii="Lato" w:eastAsia="Times New Roman" w:hAnsi="Lato" w:cs="Times New Roman"/>
          <w:b/>
          <w:bCs/>
          <w:color w:val="383126"/>
          <w:sz w:val="24"/>
          <w:szCs w:val="24"/>
        </w:rPr>
        <w:t>Approve December 31, 2015 Meeting Minutes</w:t>
      </w:r>
    </w:p>
    <w:p w:rsidR="006C2AC5" w:rsidRPr="006C2AC5" w:rsidRDefault="006C2AC5" w:rsidP="006C2AC5">
      <w:pPr>
        <w:spacing w:before="100" w:beforeAutospacing="1" w:after="240" w:line="240" w:lineRule="auto"/>
        <w:rPr>
          <w:rFonts w:ascii="Lato" w:eastAsia="Times New Roman" w:hAnsi="Lato" w:cs="Times New Roman"/>
          <w:color w:val="383126"/>
          <w:sz w:val="24"/>
          <w:szCs w:val="24"/>
        </w:rPr>
      </w:pPr>
      <w:r w:rsidRPr="006C2AC5">
        <w:rPr>
          <w:rFonts w:ascii="Lato" w:eastAsia="Times New Roman" w:hAnsi="Lato" w:cs="Times New Roman"/>
          <w:color w:val="383126"/>
          <w:sz w:val="24"/>
          <w:szCs w:val="24"/>
        </w:rPr>
        <w:br/>
      </w:r>
      <w:r w:rsidRPr="006C2AC5">
        <w:rPr>
          <w:rFonts w:ascii="Lato" w:eastAsia="Times New Roman" w:hAnsi="Lato" w:cs="Times New Roman"/>
          <w:b/>
          <w:bCs/>
          <w:color w:val="383126"/>
          <w:sz w:val="24"/>
          <w:szCs w:val="24"/>
        </w:rPr>
        <w:br/>
        <w:t>Special Business:</w:t>
      </w:r>
    </w:p>
    <w:p w:rsidR="006C2AC5" w:rsidRPr="006C2AC5" w:rsidRDefault="006C2AC5" w:rsidP="006C2AC5">
      <w:pPr>
        <w:spacing w:before="100" w:beforeAutospacing="1" w:after="240" w:line="240" w:lineRule="auto"/>
        <w:rPr>
          <w:rFonts w:ascii="Lato" w:eastAsia="Times New Roman" w:hAnsi="Lato" w:cs="Times New Roman"/>
          <w:color w:val="383126"/>
          <w:sz w:val="24"/>
          <w:szCs w:val="24"/>
        </w:rPr>
      </w:pPr>
      <w:r w:rsidRPr="006C2AC5">
        <w:rPr>
          <w:rFonts w:ascii="Lato" w:eastAsia="Times New Roman" w:hAnsi="Lato" w:cs="Times New Roman"/>
          <w:color w:val="383126"/>
          <w:sz w:val="24"/>
          <w:szCs w:val="24"/>
        </w:rPr>
        <w:br/>
      </w:r>
      <w:r w:rsidRPr="006C2AC5">
        <w:rPr>
          <w:rFonts w:ascii="Lato" w:eastAsia="Times New Roman" w:hAnsi="Lato" w:cs="Times New Roman"/>
          <w:b/>
          <w:bCs/>
          <w:color w:val="383126"/>
          <w:sz w:val="24"/>
          <w:szCs w:val="24"/>
        </w:rPr>
        <w:br/>
        <w:t>Old Business:</w:t>
      </w:r>
    </w:p>
    <w:p w:rsidR="006C2AC5" w:rsidRPr="006C2AC5" w:rsidRDefault="006C2AC5" w:rsidP="006C2AC5">
      <w:pPr>
        <w:spacing w:before="100" w:beforeAutospacing="1" w:after="240" w:line="240" w:lineRule="auto"/>
        <w:rPr>
          <w:rFonts w:ascii="Lato" w:eastAsia="Times New Roman" w:hAnsi="Lato" w:cs="Times New Roman"/>
          <w:color w:val="383126"/>
          <w:sz w:val="24"/>
          <w:szCs w:val="24"/>
        </w:rPr>
      </w:pPr>
      <w:r w:rsidRPr="006C2AC5">
        <w:rPr>
          <w:rFonts w:ascii="Lato" w:eastAsia="Times New Roman" w:hAnsi="Lato" w:cs="Times New Roman"/>
          <w:color w:val="383126"/>
          <w:sz w:val="24"/>
          <w:szCs w:val="24"/>
        </w:rPr>
        <w:br/>
      </w:r>
      <w:r w:rsidRPr="006C2AC5">
        <w:rPr>
          <w:rFonts w:ascii="Lato" w:eastAsia="Times New Roman" w:hAnsi="Lato" w:cs="Times New Roman"/>
          <w:b/>
          <w:bCs/>
          <w:color w:val="383126"/>
          <w:sz w:val="24"/>
          <w:szCs w:val="24"/>
        </w:rPr>
        <w:br/>
        <w:t>New Business:</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 xml:space="preserve">Election of Commission Chair and Vice-Chair </w:t>
      </w:r>
      <w:r w:rsidRPr="006C2AC5">
        <w:rPr>
          <w:rFonts w:ascii="Lato" w:eastAsia="Times New Roman" w:hAnsi="Lato" w:cs="Times New Roman"/>
          <w:color w:val="383126"/>
          <w:sz w:val="24"/>
          <w:szCs w:val="24"/>
        </w:rPr>
        <w:br/>
        <w:t>Appoint County Officials: Rob Fines, Emergency Manager</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 xml:space="preserve">Melissa </w:t>
      </w:r>
      <w:proofErr w:type="spellStart"/>
      <w:r w:rsidRPr="006C2AC5">
        <w:rPr>
          <w:rFonts w:ascii="Lato" w:eastAsia="Times New Roman" w:hAnsi="Lato" w:cs="Times New Roman"/>
          <w:color w:val="383126"/>
          <w:sz w:val="24"/>
          <w:szCs w:val="24"/>
        </w:rPr>
        <w:t>Flottmeyer</w:t>
      </w:r>
      <w:proofErr w:type="spellEnd"/>
      <w:r w:rsidRPr="006C2AC5">
        <w:rPr>
          <w:rFonts w:ascii="Lato" w:eastAsia="Times New Roman" w:hAnsi="Lato" w:cs="Times New Roman"/>
          <w:color w:val="383126"/>
          <w:sz w:val="24"/>
          <w:szCs w:val="24"/>
        </w:rPr>
        <w:t>, Equalization Director</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Charles Quinn, Veteran Service Officer</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Deputy States Attorney Contract</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Stanley County Emergency Management Agreement</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Indigent Defense Supplemental Agreement</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Personnel Consulting Contract</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Bridge Grant Application</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2016 Official Notices: Newspaper, Depository</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Salary Resolution</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City, School, County Election Agreement</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Liaison Appointments</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Volunteer Board Appointments</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Approve Verified Claims</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t xml:space="preserve">County Manager Report </w:t>
      </w:r>
    </w:p>
    <w:p w:rsidR="006C2AC5" w:rsidRPr="006C2AC5" w:rsidRDefault="006C2AC5" w:rsidP="006C2AC5">
      <w:pPr>
        <w:numPr>
          <w:ilvl w:val="0"/>
          <w:numId w:val="1"/>
        </w:numPr>
        <w:spacing w:before="100" w:beforeAutospacing="1" w:after="100" w:afterAutospacing="1" w:line="240" w:lineRule="auto"/>
        <w:ind w:left="600"/>
        <w:rPr>
          <w:rFonts w:ascii="Lato" w:eastAsia="Times New Roman" w:hAnsi="Lato" w:cs="Times New Roman"/>
          <w:color w:val="383126"/>
          <w:sz w:val="24"/>
          <w:szCs w:val="24"/>
        </w:rPr>
      </w:pPr>
      <w:r w:rsidRPr="006C2AC5">
        <w:rPr>
          <w:rFonts w:ascii="Lato" w:eastAsia="Times New Roman" w:hAnsi="Lato" w:cs="Times New Roman"/>
          <w:color w:val="383126"/>
          <w:sz w:val="24"/>
          <w:szCs w:val="24"/>
        </w:rPr>
        <w:lastRenderedPageBreak/>
        <w:t>Liaison Reports</w:t>
      </w:r>
    </w:p>
    <w:p w:rsidR="006C2AC5" w:rsidRPr="006C2AC5" w:rsidRDefault="006C2AC5" w:rsidP="006C2AC5">
      <w:pPr>
        <w:spacing w:before="100" w:beforeAutospacing="1" w:after="240" w:line="240" w:lineRule="auto"/>
        <w:rPr>
          <w:rFonts w:ascii="Lato" w:eastAsia="Times New Roman" w:hAnsi="Lato" w:cs="Times New Roman"/>
          <w:color w:val="383126"/>
          <w:sz w:val="24"/>
          <w:szCs w:val="24"/>
        </w:rPr>
      </w:pPr>
      <w:r w:rsidRPr="006C2AC5">
        <w:rPr>
          <w:rFonts w:ascii="Lato" w:eastAsia="Times New Roman" w:hAnsi="Lato" w:cs="Times New Roman"/>
          <w:color w:val="383126"/>
          <w:sz w:val="24"/>
          <w:szCs w:val="24"/>
        </w:rPr>
        <w:br/>
        <w:t xml:space="preserve">The meeting will be held in the Commission Room on the second floor of the Hughes County Courthouse. If special accommodations are necessary, please notify the County Auditor at least twenty-four (24) hours prior to the day of the meeting. </w:t>
      </w:r>
      <w:r w:rsidRPr="006C2AC5">
        <w:rPr>
          <w:rFonts w:ascii="Lato" w:eastAsia="Times New Roman" w:hAnsi="Lato" w:cs="Times New Roman"/>
          <w:color w:val="383126"/>
          <w:sz w:val="24"/>
          <w:szCs w:val="24"/>
        </w:rPr>
        <w:br/>
        <w:t>For more information call 773-7451.</w:t>
      </w:r>
    </w:p>
    <w:p w:rsidR="003D5467" w:rsidRDefault="003D5467" w:rsidP="006C2AC5"/>
    <w:sectPr w:rsidR="003D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34182"/>
    <w:multiLevelType w:val="multilevel"/>
    <w:tmpl w:val="CFF6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C5"/>
    <w:rsid w:val="003D5467"/>
    <w:rsid w:val="006C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FE8ED-19B6-4E62-847C-669F7B21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AC5"/>
    <w:rPr>
      <w:b/>
      <w:bCs/>
    </w:rPr>
  </w:style>
  <w:style w:type="paragraph" w:styleId="NormalWeb">
    <w:name w:val="Normal (Web)"/>
    <w:basedOn w:val="Normal"/>
    <w:uiPriority w:val="99"/>
    <w:semiHidden/>
    <w:unhideWhenUsed/>
    <w:rsid w:val="006C2AC5"/>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59725">
      <w:bodyDiv w:val="1"/>
      <w:marLeft w:val="0"/>
      <w:marRight w:val="0"/>
      <w:marTop w:val="0"/>
      <w:marBottom w:val="0"/>
      <w:divBdr>
        <w:top w:val="none" w:sz="0" w:space="0" w:color="auto"/>
        <w:left w:val="none" w:sz="0" w:space="0" w:color="auto"/>
        <w:bottom w:val="none" w:sz="0" w:space="0" w:color="auto"/>
        <w:right w:val="none" w:sz="0" w:space="0" w:color="auto"/>
      </w:divBdr>
      <w:divsChild>
        <w:div w:id="1453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Factor 360</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Schumacher</dc:creator>
  <cp:keywords/>
  <dc:description/>
  <cp:lastModifiedBy>Tyler Schumacher</cp:lastModifiedBy>
  <cp:revision>1</cp:revision>
  <dcterms:created xsi:type="dcterms:W3CDTF">2016-04-08T20:38:00Z</dcterms:created>
  <dcterms:modified xsi:type="dcterms:W3CDTF">2016-04-08T20:41:00Z</dcterms:modified>
</cp:coreProperties>
</file>